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1D808" w14:textId="77777777" w:rsidR="00D5550B" w:rsidRDefault="00D5550B"/>
    <w:p w14:paraId="27798173" w14:textId="77777777" w:rsidR="00D5550B" w:rsidRDefault="00D5550B"/>
    <w:p w14:paraId="7B67EABF" w14:textId="77777777" w:rsidR="00D5550B" w:rsidRDefault="00000000">
      <w:pPr>
        <w:jc w:val="center"/>
        <w:rPr>
          <w:rFonts w:ascii="Calibri" w:eastAsia="Calibri" w:hAnsi="Calibri" w:cs="Calibri"/>
          <w:sz w:val="28"/>
          <w:szCs w:val="28"/>
        </w:rPr>
      </w:pPr>
      <w:r>
        <w:rPr>
          <w:rFonts w:ascii="Calibri" w:eastAsia="Calibri" w:hAnsi="Calibri" w:cs="Calibri"/>
          <w:sz w:val="28"/>
          <w:szCs w:val="28"/>
        </w:rPr>
        <w:t>COMPLAINTS POLICY</w:t>
      </w:r>
    </w:p>
    <w:p w14:paraId="5CA596A6" w14:textId="77777777" w:rsidR="00D5550B" w:rsidRDefault="00D5550B">
      <w:pPr>
        <w:jc w:val="center"/>
        <w:rPr>
          <w:rFonts w:ascii="Calibri" w:eastAsia="Calibri" w:hAnsi="Calibri" w:cs="Calibri"/>
          <w:sz w:val="28"/>
          <w:szCs w:val="28"/>
        </w:rPr>
      </w:pPr>
    </w:p>
    <w:p w14:paraId="5791427C" w14:textId="77777777" w:rsidR="00D5550B" w:rsidRDefault="00D5550B">
      <w:pPr>
        <w:rPr>
          <w:rFonts w:ascii="Calibri" w:eastAsia="Calibri" w:hAnsi="Calibri" w:cs="Calibri"/>
          <w:sz w:val="24"/>
          <w:szCs w:val="24"/>
        </w:rPr>
      </w:pPr>
    </w:p>
    <w:p w14:paraId="5BDD07D6" w14:textId="17E7AB3B" w:rsidR="00D5550B" w:rsidRDefault="00000000">
      <w:pPr>
        <w:rPr>
          <w:rFonts w:ascii="Calibri" w:eastAsia="Calibri" w:hAnsi="Calibri" w:cs="Calibri"/>
          <w:color w:val="374151"/>
          <w:sz w:val="24"/>
          <w:szCs w:val="24"/>
        </w:rPr>
      </w:pPr>
      <w:r>
        <w:rPr>
          <w:rFonts w:ascii="Calibri" w:eastAsia="Calibri" w:hAnsi="Calibri" w:cs="Calibri"/>
          <w:color w:val="374151"/>
          <w:sz w:val="24"/>
          <w:szCs w:val="24"/>
        </w:rPr>
        <w:t xml:space="preserve">At Refresh Education, we value open communication and believe in maintaining a transparent and constructive relationship with our school community. Our complaints policy is designed to provide a structured and fair process for addressing concerns or grievances that may arise. We understand that feedback is essential for continuous improvement, and we encourage all </w:t>
      </w:r>
      <w:r w:rsidR="002132CF">
        <w:rPr>
          <w:rFonts w:ascii="Calibri" w:eastAsia="Calibri" w:hAnsi="Calibri" w:cs="Calibri"/>
          <w:color w:val="374151"/>
          <w:sz w:val="24"/>
          <w:szCs w:val="24"/>
        </w:rPr>
        <w:t xml:space="preserve">referring schools, local </w:t>
      </w:r>
      <w:proofErr w:type="gramStart"/>
      <w:r w:rsidR="002132CF">
        <w:rPr>
          <w:rFonts w:ascii="Calibri" w:eastAsia="Calibri" w:hAnsi="Calibri" w:cs="Calibri"/>
          <w:color w:val="374151"/>
          <w:sz w:val="24"/>
          <w:szCs w:val="24"/>
        </w:rPr>
        <w:t>authority,</w:t>
      </w:r>
      <w:r>
        <w:rPr>
          <w:rFonts w:ascii="Calibri" w:eastAsia="Calibri" w:hAnsi="Calibri" w:cs="Calibri"/>
          <w:color w:val="374151"/>
          <w:sz w:val="24"/>
          <w:szCs w:val="24"/>
        </w:rPr>
        <w:t>students</w:t>
      </w:r>
      <w:proofErr w:type="gramEnd"/>
      <w:r>
        <w:rPr>
          <w:rFonts w:ascii="Calibri" w:eastAsia="Calibri" w:hAnsi="Calibri" w:cs="Calibri"/>
          <w:color w:val="374151"/>
          <w:sz w:val="24"/>
          <w:szCs w:val="24"/>
        </w:rPr>
        <w:t xml:space="preserve">, parents, and staff—to voice their concerns. This policy reflects our commitment to resolving issues in a timely and respectful manner, fostering a culture of accountability, and ensuring that every member of our school community feels heard and supported. We believe that effective resolution of concerns contributes to a positive and thriving educational </w:t>
      </w:r>
      <w:proofErr w:type="gramStart"/>
      <w:r>
        <w:rPr>
          <w:rFonts w:ascii="Calibri" w:eastAsia="Calibri" w:hAnsi="Calibri" w:cs="Calibri"/>
          <w:color w:val="374151"/>
          <w:sz w:val="24"/>
          <w:szCs w:val="24"/>
        </w:rPr>
        <w:t>environment</w:t>
      </w:r>
      <w:proofErr w:type="gramEnd"/>
      <w:r>
        <w:rPr>
          <w:rFonts w:ascii="Calibri" w:eastAsia="Calibri" w:hAnsi="Calibri" w:cs="Calibri"/>
          <w:color w:val="374151"/>
          <w:sz w:val="24"/>
          <w:szCs w:val="24"/>
        </w:rPr>
        <w:t xml:space="preserve"> for all.</w:t>
      </w:r>
    </w:p>
    <w:p w14:paraId="49827861" w14:textId="77777777" w:rsidR="00D5550B" w:rsidRDefault="00D5550B">
      <w:pPr>
        <w:rPr>
          <w:rFonts w:ascii="Calibri" w:eastAsia="Calibri" w:hAnsi="Calibri" w:cs="Calibri"/>
          <w:color w:val="374151"/>
          <w:sz w:val="24"/>
          <w:szCs w:val="24"/>
        </w:rPr>
      </w:pPr>
    </w:p>
    <w:p w14:paraId="2D5100B3" w14:textId="77777777" w:rsidR="00D5550B" w:rsidRDefault="00D5550B">
      <w:pPr>
        <w:rPr>
          <w:rFonts w:ascii="Calibri" w:eastAsia="Calibri" w:hAnsi="Calibri" w:cs="Calibri"/>
          <w:color w:val="374151"/>
          <w:sz w:val="24"/>
          <w:szCs w:val="24"/>
        </w:rPr>
      </w:pPr>
    </w:p>
    <w:p w14:paraId="1794963E" w14:textId="77777777" w:rsidR="00D5550B" w:rsidRDefault="00D5550B">
      <w:pPr>
        <w:rPr>
          <w:rFonts w:ascii="Calibri" w:eastAsia="Calibri" w:hAnsi="Calibri" w:cs="Calibri"/>
          <w:color w:val="374151"/>
          <w:sz w:val="24"/>
          <w:szCs w:val="24"/>
        </w:rPr>
      </w:pPr>
    </w:p>
    <w:p w14:paraId="3A547961" w14:textId="77777777" w:rsidR="00D5550B" w:rsidRDefault="00000000">
      <w:pPr>
        <w:rPr>
          <w:rFonts w:ascii="Calibri" w:eastAsia="Calibri" w:hAnsi="Calibri" w:cs="Calibri"/>
          <w:color w:val="374151"/>
          <w:sz w:val="24"/>
          <w:szCs w:val="24"/>
        </w:rPr>
      </w:pPr>
      <w:r>
        <w:rPr>
          <w:rFonts w:ascii="Calibri" w:eastAsia="Calibri" w:hAnsi="Calibri" w:cs="Calibri"/>
          <w:color w:val="374151"/>
          <w:sz w:val="24"/>
          <w:szCs w:val="24"/>
        </w:rPr>
        <w:t xml:space="preserve">At Refresh Education, we </w:t>
      </w:r>
      <w:proofErr w:type="spellStart"/>
      <w:r>
        <w:rPr>
          <w:rFonts w:ascii="Calibri" w:eastAsia="Calibri" w:hAnsi="Calibri" w:cs="Calibri"/>
          <w:color w:val="374151"/>
          <w:sz w:val="24"/>
          <w:szCs w:val="24"/>
        </w:rPr>
        <w:t>recognise</w:t>
      </w:r>
      <w:proofErr w:type="spellEnd"/>
      <w:r>
        <w:rPr>
          <w:rFonts w:ascii="Calibri" w:eastAsia="Calibri" w:hAnsi="Calibri" w:cs="Calibri"/>
          <w:color w:val="374151"/>
          <w:sz w:val="24"/>
          <w:szCs w:val="24"/>
        </w:rPr>
        <w:t xml:space="preserve"> that concerns or complaints may arise from time to time, and we view them as opportunities for growth and refinement. We are dedicated to addressing such matters with sensitivity, confidentiality, and a commitment to fairness. Our complaints policy outlines a clear and accessible procedure for raising concerns, beginning with an open-door policy that encourages informal discussions at the earliest stage. Should concerns persist or require more formal attention, the policy provides a structured framework for escalation, investigation, and resolution. By fostering a culture of open communication and accountability, we aim to strengthen our relationships with all stakeholders and ensure a safe, supportive, and enriching learning environment at Refresh Education</w:t>
      </w:r>
    </w:p>
    <w:p w14:paraId="55C14232" w14:textId="77777777" w:rsidR="00D5550B" w:rsidRDefault="00D5550B">
      <w:pPr>
        <w:rPr>
          <w:rFonts w:ascii="Calibri" w:eastAsia="Calibri" w:hAnsi="Calibri" w:cs="Calibri"/>
          <w:color w:val="374151"/>
          <w:sz w:val="24"/>
          <w:szCs w:val="24"/>
        </w:rPr>
      </w:pPr>
    </w:p>
    <w:p w14:paraId="72156EB3" w14:textId="77777777" w:rsidR="00D5550B" w:rsidRDefault="00D5550B">
      <w:pPr>
        <w:rPr>
          <w:rFonts w:ascii="Calibri" w:eastAsia="Calibri" w:hAnsi="Calibri" w:cs="Calibri"/>
          <w:color w:val="374151"/>
          <w:sz w:val="24"/>
          <w:szCs w:val="24"/>
        </w:rPr>
      </w:pPr>
    </w:p>
    <w:p w14:paraId="3B44B081" w14:textId="77777777" w:rsidR="00D5550B" w:rsidRDefault="00D5550B">
      <w:pPr>
        <w:rPr>
          <w:rFonts w:ascii="Calibri" w:eastAsia="Calibri" w:hAnsi="Calibri" w:cs="Calibri"/>
          <w:color w:val="374151"/>
          <w:sz w:val="24"/>
          <w:szCs w:val="24"/>
        </w:rPr>
      </w:pPr>
    </w:p>
    <w:p w14:paraId="553418DB" w14:textId="77777777" w:rsidR="00D5550B" w:rsidRDefault="00D5550B">
      <w:pPr>
        <w:rPr>
          <w:rFonts w:ascii="Calibri" w:eastAsia="Calibri" w:hAnsi="Calibri" w:cs="Calibri"/>
          <w:color w:val="374151"/>
          <w:sz w:val="24"/>
          <w:szCs w:val="24"/>
        </w:rPr>
      </w:pPr>
    </w:p>
    <w:p w14:paraId="4AAA7B26" w14:textId="77777777" w:rsidR="00D5550B" w:rsidRDefault="00D5550B">
      <w:pPr>
        <w:rPr>
          <w:rFonts w:ascii="Calibri" w:eastAsia="Calibri" w:hAnsi="Calibri" w:cs="Calibri"/>
          <w:color w:val="374151"/>
          <w:sz w:val="24"/>
          <w:szCs w:val="24"/>
        </w:rPr>
      </w:pPr>
    </w:p>
    <w:p w14:paraId="094348BC" w14:textId="77777777" w:rsidR="00D5550B" w:rsidRDefault="00D5550B">
      <w:pPr>
        <w:rPr>
          <w:rFonts w:ascii="Calibri" w:eastAsia="Calibri" w:hAnsi="Calibri" w:cs="Calibri"/>
          <w:color w:val="374151"/>
          <w:sz w:val="24"/>
          <w:szCs w:val="24"/>
        </w:rPr>
      </w:pPr>
    </w:p>
    <w:p w14:paraId="754A054C" w14:textId="77777777" w:rsidR="00D5550B" w:rsidRDefault="00D5550B">
      <w:pPr>
        <w:rPr>
          <w:rFonts w:ascii="Calibri" w:eastAsia="Calibri" w:hAnsi="Calibri" w:cs="Calibri"/>
          <w:color w:val="374151"/>
          <w:sz w:val="24"/>
          <w:szCs w:val="24"/>
        </w:rPr>
      </w:pPr>
    </w:p>
    <w:p w14:paraId="33BA2CDF" w14:textId="77777777" w:rsidR="00D5550B" w:rsidRDefault="00D5550B">
      <w:pPr>
        <w:pBdr>
          <w:top w:val="none" w:sz="0" w:space="0" w:color="D9D9E3"/>
          <w:left w:val="none" w:sz="0" w:space="0" w:color="D9D9E3"/>
          <w:bottom w:val="none" w:sz="0" w:space="0" w:color="D9D9E3"/>
          <w:right w:val="none" w:sz="0" w:space="0" w:color="D9D9E3"/>
          <w:between w:val="none" w:sz="0" w:space="0" w:color="D9D9E3"/>
        </w:pBdr>
        <w:spacing w:after="300"/>
        <w:rPr>
          <w:rFonts w:ascii="Calibri" w:eastAsia="Calibri" w:hAnsi="Calibri" w:cs="Calibri"/>
          <w:color w:val="374151"/>
          <w:sz w:val="24"/>
          <w:szCs w:val="24"/>
        </w:rPr>
      </w:pPr>
    </w:p>
    <w:p w14:paraId="08582F06" w14:textId="77777777" w:rsidR="00D5550B" w:rsidRDefault="003C02E6">
      <w:pPr>
        <w:rPr>
          <w:rFonts w:ascii="Calibri" w:eastAsia="Calibri" w:hAnsi="Calibri" w:cs="Calibri"/>
          <w:color w:val="374151"/>
          <w:sz w:val="24"/>
          <w:szCs w:val="24"/>
        </w:rPr>
      </w:pPr>
      <w:r>
        <w:rPr>
          <w:noProof/>
        </w:rPr>
        <w:pict w14:anchorId="170379E3">
          <v:rect id="_x0000_i1025" alt="" style="width:451.3pt;height:.05pt;mso-width-percent:0;mso-height-percent:0;mso-width-percent:0;mso-height-percent:0" o:hralign="center" o:hrstd="t" o:hr="t" fillcolor="#a0a0a0" stroked="f"/>
        </w:pict>
      </w:r>
    </w:p>
    <w:p w14:paraId="3C5BC43B" w14:textId="2783DED5" w:rsidR="002132CF" w:rsidRDefault="00000000" w:rsidP="002132CF">
      <w:pPr>
        <w:pBdr>
          <w:top w:val="none" w:sz="0" w:space="0" w:color="D9D9E3"/>
          <w:left w:val="none" w:sz="0" w:space="0" w:color="D9D9E3"/>
          <w:bottom w:val="none" w:sz="0" w:space="0" w:color="D9D9E3"/>
          <w:right w:val="none" w:sz="0" w:space="0" w:color="D9D9E3"/>
          <w:between w:val="none" w:sz="0" w:space="0" w:color="D9D9E3"/>
        </w:pBdr>
        <w:spacing w:before="280" w:line="384" w:lineRule="auto"/>
        <w:jc w:val="center"/>
        <w:rPr>
          <w:sz w:val="24"/>
          <w:szCs w:val="24"/>
        </w:rPr>
      </w:pPr>
      <w:r>
        <w:rPr>
          <w:sz w:val="24"/>
          <w:szCs w:val="24"/>
        </w:rPr>
        <w:lastRenderedPageBreak/>
        <w:t>Refresh Education Complaint Escalation Table</w:t>
      </w: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2003"/>
        <w:gridCol w:w="3339"/>
        <w:gridCol w:w="1932"/>
        <w:gridCol w:w="2086"/>
      </w:tblGrid>
      <w:tr w:rsidR="00D5550B" w14:paraId="2D19D8C6" w14:textId="77777777">
        <w:trPr>
          <w:trHeight w:val="1070"/>
        </w:trPr>
        <w:tc>
          <w:tcPr>
            <w:tcW w:w="2002" w:type="dxa"/>
            <w:tcBorders>
              <w:top w:val="single" w:sz="6" w:space="0" w:color="D9D9E3"/>
              <w:left w:val="single" w:sz="6" w:space="0" w:color="D9D9E3"/>
              <w:bottom w:val="single" w:sz="6" w:space="0" w:color="D9D9E3"/>
              <w:right w:val="nil"/>
            </w:tcBorders>
            <w:tcMar>
              <w:top w:w="100" w:type="dxa"/>
              <w:left w:w="100" w:type="dxa"/>
              <w:bottom w:w="100" w:type="dxa"/>
              <w:right w:w="100" w:type="dxa"/>
            </w:tcMar>
            <w:vAlign w:val="bottom"/>
          </w:tcPr>
          <w:p w14:paraId="2A2FF810" w14:textId="77777777" w:rsidR="00D5550B" w:rsidRDefault="00000000">
            <w:pPr>
              <w:spacing w:line="411" w:lineRule="auto"/>
              <w:jc w:val="center"/>
              <w:rPr>
                <w:rFonts w:ascii="Calibri" w:eastAsia="Calibri" w:hAnsi="Calibri" w:cs="Calibri"/>
                <w:color w:val="374151"/>
                <w:sz w:val="24"/>
                <w:szCs w:val="24"/>
              </w:rPr>
            </w:pPr>
            <w:r>
              <w:rPr>
                <w:rFonts w:ascii="Calibri" w:eastAsia="Calibri" w:hAnsi="Calibri" w:cs="Calibri"/>
                <w:b/>
                <w:color w:val="374151"/>
                <w:sz w:val="24"/>
                <w:szCs w:val="24"/>
              </w:rPr>
              <w:t>Level</w:t>
            </w:r>
          </w:p>
        </w:tc>
        <w:tc>
          <w:tcPr>
            <w:tcW w:w="3338" w:type="dxa"/>
            <w:tcBorders>
              <w:top w:val="single" w:sz="6" w:space="0" w:color="D9D9E3"/>
              <w:left w:val="single" w:sz="6" w:space="0" w:color="D9D9E3"/>
              <w:bottom w:val="single" w:sz="6" w:space="0" w:color="D9D9E3"/>
              <w:right w:val="nil"/>
            </w:tcBorders>
            <w:tcMar>
              <w:top w:w="100" w:type="dxa"/>
              <w:left w:w="100" w:type="dxa"/>
              <w:bottom w:w="100" w:type="dxa"/>
              <w:right w:w="100" w:type="dxa"/>
            </w:tcMar>
            <w:vAlign w:val="bottom"/>
          </w:tcPr>
          <w:p w14:paraId="0D4C3F9A" w14:textId="77777777" w:rsidR="00D5550B" w:rsidRDefault="00000000">
            <w:pPr>
              <w:spacing w:line="411" w:lineRule="auto"/>
              <w:jc w:val="center"/>
              <w:rPr>
                <w:rFonts w:ascii="Calibri" w:eastAsia="Calibri" w:hAnsi="Calibri" w:cs="Calibri"/>
                <w:color w:val="374151"/>
                <w:sz w:val="24"/>
                <w:szCs w:val="24"/>
              </w:rPr>
            </w:pPr>
            <w:r>
              <w:rPr>
                <w:rFonts w:ascii="Calibri" w:eastAsia="Calibri" w:hAnsi="Calibri" w:cs="Calibri"/>
                <w:b/>
                <w:color w:val="374151"/>
                <w:sz w:val="24"/>
                <w:szCs w:val="24"/>
              </w:rPr>
              <w:t>Procedure</w:t>
            </w:r>
          </w:p>
        </w:tc>
        <w:tc>
          <w:tcPr>
            <w:tcW w:w="1932" w:type="dxa"/>
            <w:tcBorders>
              <w:top w:val="single" w:sz="6" w:space="0" w:color="D9D9E3"/>
              <w:left w:val="single" w:sz="6" w:space="0" w:color="D9D9E3"/>
              <w:bottom w:val="single" w:sz="6" w:space="0" w:color="D9D9E3"/>
              <w:right w:val="nil"/>
            </w:tcBorders>
            <w:tcMar>
              <w:top w:w="100" w:type="dxa"/>
              <w:left w:w="100" w:type="dxa"/>
              <w:bottom w:w="100" w:type="dxa"/>
              <w:right w:w="100" w:type="dxa"/>
            </w:tcMar>
            <w:vAlign w:val="bottom"/>
          </w:tcPr>
          <w:p w14:paraId="4130BCDB" w14:textId="77777777" w:rsidR="00D5550B" w:rsidRDefault="00000000">
            <w:pPr>
              <w:spacing w:line="411" w:lineRule="auto"/>
              <w:jc w:val="center"/>
              <w:rPr>
                <w:rFonts w:ascii="Calibri" w:eastAsia="Calibri" w:hAnsi="Calibri" w:cs="Calibri"/>
                <w:color w:val="374151"/>
                <w:sz w:val="24"/>
                <w:szCs w:val="24"/>
              </w:rPr>
            </w:pPr>
            <w:r>
              <w:rPr>
                <w:rFonts w:ascii="Calibri" w:eastAsia="Calibri" w:hAnsi="Calibri" w:cs="Calibri"/>
                <w:b/>
                <w:color w:val="374151"/>
                <w:sz w:val="24"/>
                <w:szCs w:val="24"/>
              </w:rPr>
              <w:t>Responsible Party</w:t>
            </w:r>
          </w:p>
        </w:tc>
        <w:tc>
          <w:tcPr>
            <w:tcW w:w="2086" w:type="dxa"/>
            <w:tcBorders>
              <w:top w:val="single" w:sz="6" w:space="0" w:color="D9D9E3"/>
              <w:left w:val="single" w:sz="6" w:space="0" w:color="D9D9E3"/>
              <w:bottom w:val="single" w:sz="6" w:space="0" w:color="D9D9E3"/>
              <w:right w:val="single" w:sz="6" w:space="0" w:color="D9D9E3"/>
            </w:tcBorders>
            <w:tcMar>
              <w:top w:w="100" w:type="dxa"/>
              <w:left w:w="100" w:type="dxa"/>
              <w:bottom w:w="100" w:type="dxa"/>
              <w:right w:w="100" w:type="dxa"/>
            </w:tcMar>
            <w:vAlign w:val="bottom"/>
          </w:tcPr>
          <w:p w14:paraId="05C9E319" w14:textId="77777777" w:rsidR="00D5550B" w:rsidRDefault="00000000">
            <w:pPr>
              <w:spacing w:line="411" w:lineRule="auto"/>
              <w:jc w:val="center"/>
              <w:rPr>
                <w:rFonts w:ascii="Calibri" w:eastAsia="Calibri" w:hAnsi="Calibri" w:cs="Calibri"/>
                <w:color w:val="374151"/>
                <w:sz w:val="24"/>
                <w:szCs w:val="24"/>
              </w:rPr>
            </w:pPr>
            <w:r>
              <w:rPr>
                <w:rFonts w:ascii="Calibri" w:eastAsia="Calibri" w:hAnsi="Calibri" w:cs="Calibri"/>
                <w:b/>
                <w:color w:val="374151"/>
                <w:sz w:val="24"/>
                <w:szCs w:val="24"/>
              </w:rPr>
              <w:t>Timeline</w:t>
            </w:r>
          </w:p>
        </w:tc>
      </w:tr>
      <w:tr w:rsidR="00D5550B" w14:paraId="5A95A759" w14:textId="77777777">
        <w:trPr>
          <w:trHeight w:val="1775"/>
        </w:trPr>
        <w:tc>
          <w:tcPr>
            <w:tcW w:w="2002" w:type="dxa"/>
            <w:tcBorders>
              <w:top w:val="nil"/>
              <w:left w:val="single" w:sz="6" w:space="0" w:color="D9D9E3"/>
              <w:bottom w:val="single" w:sz="6" w:space="0" w:color="D9D9E3"/>
              <w:right w:val="nil"/>
            </w:tcBorders>
            <w:tcMar>
              <w:top w:w="100" w:type="dxa"/>
              <w:left w:w="100" w:type="dxa"/>
              <w:bottom w:w="100" w:type="dxa"/>
              <w:right w:w="100" w:type="dxa"/>
            </w:tcMar>
            <w:vAlign w:val="center"/>
          </w:tcPr>
          <w:p w14:paraId="539E0197" w14:textId="77777777" w:rsidR="00D5550B" w:rsidRDefault="00000000">
            <w:pPr>
              <w:spacing w:line="411" w:lineRule="auto"/>
              <w:rPr>
                <w:rFonts w:ascii="Calibri" w:eastAsia="Calibri" w:hAnsi="Calibri" w:cs="Calibri"/>
                <w:color w:val="374151"/>
                <w:sz w:val="24"/>
                <w:szCs w:val="24"/>
              </w:rPr>
            </w:pPr>
            <w:r>
              <w:rPr>
                <w:rFonts w:ascii="Calibri" w:eastAsia="Calibri" w:hAnsi="Calibri" w:cs="Calibri"/>
                <w:color w:val="374151"/>
                <w:sz w:val="24"/>
                <w:szCs w:val="24"/>
              </w:rPr>
              <w:t>Level 1: Informal Resolution</w:t>
            </w:r>
          </w:p>
        </w:tc>
        <w:tc>
          <w:tcPr>
            <w:tcW w:w="3338" w:type="dxa"/>
            <w:tcBorders>
              <w:top w:val="nil"/>
              <w:left w:val="single" w:sz="6" w:space="0" w:color="D9D9E3"/>
              <w:bottom w:val="single" w:sz="6" w:space="0" w:color="D9D9E3"/>
              <w:right w:val="nil"/>
            </w:tcBorders>
            <w:tcMar>
              <w:top w:w="100" w:type="dxa"/>
              <w:left w:w="100" w:type="dxa"/>
              <w:bottom w:w="100" w:type="dxa"/>
              <w:right w:w="100" w:type="dxa"/>
            </w:tcMar>
            <w:vAlign w:val="center"/>
          </w:tcPr>
          <w:p w14:paraId="6FAFD9A4" w14:textId="77777777" w:rsidR="00D5550B" w:rsidRDefault="00000000">
            <w:pPr>
              <w:spacing w:line="411" w:lineRule="auto"/>
              <w:rPr>
                <w:rFonts w:ascii="Calibri" w:eastAsia="Calibri" w:hAnsi="Calibri" w:cs="Calibri"/>
                <w:color w:val="374151"/>
                <w:sz w:val="24"/>
                <w:szCs w:val="24"/>
              </w:rPr>
            </w:pPr>
            <w:r>
              <w:rPr>
                <w:rFonts w:ascii="Calibri" w:eastAsia="Calibri" w:hAnsi="Calibri" w:cs="Calibri"/>
                <w:color w:val="374151"/>
                <w:sz w:val="24"/>
                <w:szCs w:val="24"/>
              </w:rPr>
              <w:t>The complainant discusses the concern informally with the teacher or staff member involved.</w:t>
            </w:r>
          </w:p>
        </w:tc>
        <w:tc>
          <w:tcPr>
            <w:tcW w:w="1932" w:type="dxa"/>
            <w:tcBorders>
              <w:top w:val="nil"/>
              <w:left w:val="single" w:sz="6" w:space="0" w:color="D9D9E3"/>
              <w:bottom w:val="single" w:sz="6" w:space="0" w:color="D9D9E3"/>
              <w:right w:val="nil"/>
            </w:tcBorders>
            <w:tcMar>
              <w:top w:w="100" w:type="dxa"/>
              <w:left w:w="100" w:type="dxa"/>
              <w:bottom w:w="100" w:type="dxa"/>
              <w:right w:w="100" w:type="dxa"/>
            </w:tcMar>
            <w:vAlign w:val="center"/>
          </w:tcPr>
          <w:p w14:paraId="483D55F9" w14:textId="77777777" w:rsidR="00D5550B" w:rsidRDefault="00000000">
            <w:pPr>
              <w:spacing w:line="411" w:lineRule="auto"/>
              <w:rPr>
                <w:rFonts w:ascii="Calibri" w:eastAsia="Calibri" w:hAnsi="Calibri" w:cs="Calibri"/>
                <w:color w:val="374151"/>
                <w:sz w:val="24"/>
                <w:szCs w:val="24"/>
              </w:rPr>
            </w:pPr>
            <w:r>
              <w:rPr>
                <w:rFonts w:ascii="Calibri" w:eastAsia="Calibri" w:hAnsi="Calibri" w:cs="Calibri"/>
                <w:color w:val="374151"/>
                <w:sz w:val="24"/>
                <w:szCs w:val="24"/>
              </w:rPr>
              <w:t>Teacher or Staff Member</w:t>
            </w:r>
          </w:p>
        </w:tc>
        <w:tc>
          <w:tcPr>
            <w:tcW w:w="2086" w:type="dxa"/>
            <w:tcBorders>
              <w:top w:val="nil"/>
              <w:left w:val="single" w:sz="6" w:space="0" w:color="D9D9E3"/>
              <w:bottom w:val="single" w:sz="6" w:space="0" w:color="D9D9E3"/>
              <w:right w:val="single" w:sz="6" w:space="0" w:color="D9D9E3"/>
            </w:tcBorders>
            <w:tcMar>
              <w:top w:w="100" w:type="dxa"/>
              <w:left w:w="100" w:type="dxa"/>
              <w:bottom w:w="100" w:type="dxa"/>
              <w:right w:w="100" w:type="dxa"/>
            </w:tcMar>
            <w:vAlign w:val="center"/>
          </w:tcPr>
          <w:p w14:paraId="741812C9" w14:textId="77777777" w:rsidR="00D5550B" w:rsidRDefault="00000000">
            <w:pPr>
              <w:spacing w:line="411" w:lineRule="auto"/>
              <w:rPr>
                <w:rFonts w:ascii="Calibri" w:eastAsia="Calibri" w:hAnsi="Calibri" w:cs="Calibri"/>
                <w:color w:val="374151"/>
                <w:sz w:val="24"/>
                <w:szCs w:val="24"/>
              </w:rPr>
            </w:pPr>
            <w:r>
              <w:rPr>
                <w:rFonts w:ascii="Calibri" w:eastAsia="Calibri" w:hAnsi="Calibri" w:cs="Calibri"/>
                <w:color w:val="374151"/>
                <w:sz w:val="24"/>
                <w:szCs w:val="24"/>
              </w:rPr>
              <w:t xml:space="preserve">Within 5 school days. </w:t>
            </w:r>
            <w:proofErr w:type="gramStart"/>
            <w:r>
              <w:rPr>
                <w:rFonts w:ascii="Calibri" w:eastAsia="Calibri" w:hAnsi="Calibri" w:cs="Calibri"/>
                <w:color w:val="374151"/>
                <w:sz w:val="24"/>
                <w:szCs w:val="24"/>
              </w:rPr>
              <w:t>( not</w:t>
            </w:r>
            <w:proofErr w:type="gramEnd"/>
            <w:r>
              <w:rPr>
                <w:rFonts w:ascii="Calibri" w:eastAsia="Calibri" w:hAnsi="Calibri" w:cs="Calibri"/>
                <w:color w:val="374151"/>
                <w:sz w:val="24"/>
                <w:szCs w:val="24"/>
              </w:rPr>
              <w:t xml:space="preserve"> including school holidays / bank holidays)</w:t>
            </w:r>
          </w:p>
        </w:tc>
      </w:tr>
      <w:tr w:rsidR="00D5550B" w14:paraId="1DD0322D" w14:textId="77777777">
        <w:trPr>
          <w:trHeight w:val="2135"/>
        </w:trPr>
        <w:tc>
          <w:tcPr>
            <w:tcW w:w="2002" w:type="dxa"/>
            <w:tcBorders>
              <w:top w:val="nil"/>
              <w:left w:val="single" w:sz="6" w:space="0" w:color="D9D9E3"/>
              <w:bottom w:val="single" w:sz="6" w:space="0" w:color="D9D9E3"/>
              <w:right w:val="nil"/>
            </w:tcBorders>
            <w:tcMar>
              <w:top w:w="100" w:type="dxa"/>
              <w:left w:w="100" w:type="dxa"/>
              <w:bottom w:w="100" w:type="dxa"/>
              <w:right w:w="100" w:type="dxa"/>
            </w:tcMar>
            <w:vAlign w:val="center"/>
          </w:tcPr>
          <w:p w14:paraId="3A41E4C3" w14:textId="77777777" w:rsidR="00D5550B" w:rsidRDefault="00000000">
            <w:pPr>
              <w:spacing w:line="411" w:lineRule="auto"/>
              <w:rPr>
                <w:rFonts w:ascii="Calibri" w:eastAsia="Calibri" w:hAnsi="Calibri" w:cs="Calibri"/>
                <w:color w:val="374151"/>
                <w:sz w:val="24"/>
                <w:szCs w:val="24"/>
              </w:rPr>
            </w:pPr>
            <w:r>
              <w:rPr>
                <w:rFonts w:ascii="Calibri" w:eastAsia="Calibri" w:hAnsi="Calibri" w:cs="Calibri"/>
                <w:color w:val="374151"/>
                <w:sz w:val="24"/>
                <w:szCs w:val="24"/>
              </w:rPr>
              <w:t>Level 2: Formal Written Complaint</w:t>
            </w:r>
          </w:p>
        </w:tc>
        <w:tc>
          <w:tcPr>
            <w:tcW w:w="3338" w:type="dxa"/>
            <w:tcBorders>
              <w:top w:val="nil"/>
              <w:left w:val="single" w:sz="6" w:space="0" w:color="D9D9E3"/>
              <w:bottom w:val="single" w:sz="6" w:space="0" w:color="D9D9E3"/>
              <w:right w:val="nil"/>
            </w:tcBorders>
            <w:tcMar>
              <w:top w:w="100" w:type="dxa"/>
              <w:left w:w="100" w:type="dxa"/>
              <w:bottom w:w="100" w:type="dxa"/>
              <w:right w:w="100" w:type="dxa"/>
            </w:tcMar>
            <w:vAlign w:val="center"/>
          </w:tcPr>
          <w:p w14:paraId="0CF1E81B" w14:textId="7AB9E064" w:rsidR="00D5550B" w:rsidRDefault="00000000">
            <w:pPr>
              <w:spacing w:line="411" w:lineRule="auto"/>
              <w:rPr>
                <w:rFonts w:ascii="Calibri" w:eastAsia="Calibri" w:hAnsi="Calibri" w:cs="Calibri"/>
                <w:color w:val="374151"/>
                <w:sz w:val="24"/>
                <w:szCs w:val="24"/>
              </w:rPr>
            </w:pPr>
            <w:r>
              <w:rPr>
                <w:rFonts w:ascii="Calibri" w:eastAsia="Calibri" w:hAnsi="Calibri" w:cs="Calibri"/>
                <w:color w:val="374151"/>
                <w:sz w:val="24"/>
                <w:szCs w:val="24"/>
              </w:rPr>
              <w:t>If the concern persists, the complainant submits a formal written complaint to the school address to either</w:t>
            </w:r>
            <w:r w:rsidR="002132CF">
              <w:rPr>
                <w:rFonts w:ascii="Calibri" w:eastAsia="Calibri" w:hAnsi="Calibri" w:cs="Calibri"/>
                <w:color w:val="374151"/>
                <w:sz w:val="24"/>
                <w:szCs w:val="24"/>
              </w:rPr>
              <w:t>:</w:t>
            </w:r>
          </w:p>
          <w:p w14:paraId="3762106D" w14:textId="1DC52D01" w:rsidR="00D5550B" w:rsidRDefault="00000000">
            <w:pPr>
              <w:spacing w:line="411" w:lineRule="auto"/>
              <w:rPr>
                <w:rFonts w:ascii="Calibri" w:eastAsia="Calibri" w:hAnsi="Calibri" w:cs="Calibri"/>
                <w:color w:val="374151"/>
                <w:sz w:val="24"/>
                <w:szCs w:val="24"/>
              </w:rPr>
            </w:pPr>
            <w:proofErr w:type="spellStart"/>
            <w:r>
              <w:rPr>
                <w:rFonts w:ascii="Calibri" w:eastAsia="Calibri" w:hAnsi="Calibri" w:cs="Calibri"/>
                <w:color w:val="374151"/>
                <w:sz w:val="24"/>
                <w:szCs w:val="24"/>
              </w:rPr>
              <w:t>Mrs</w:t>
            </w:r>
            <w:proofErr w:type="spellEnd"/>
            <w:r>
              <w:rPr>
                <w:rFonts w:ascii="Calibri" w:eastAsia="Calibri" w:hAnsi="Calibri" w:cs="Calibri"/>
                <w:color w:val="374151"/>
                <w:sz w:val="24"/>
                <w:szCs w:val="24"/>
              </w:rPr>
              <w:t xml:space="preserve"> Eleanor Benson</w:t>
            </w:r>
            <w:r w:rsidR="002132CF">
              <w:rPr>
                <w:rFonts w:ascii="Calibri" w:eastAsia="Calibri" w:hAnsi="Calibri" w:cs="Calibri"/>
                <w:color w:val="374151"/>
                <w:sz w:val="24"/>
                <w:szCs w:val="24"/>
              </w:rPr>
              <w:t xml:space="preserve"> – Head Teacher</w:t>
            </w:r>
          </w:p>
          <w:p w14:paraId="481CFD6A" w14:textId="063FBF7F" w:rsidR="00D5550B" w:rsidRDefault="00000000">
            <w:pPr>
              <w:spacing w:line="411" w:lineRule="auto"/>
              <w:rPr>
                <w:rFonts w:ascii="Calibri" w:eastAsia="Calibri" w:hAnsi="Calibri" w:cs="Calibri"/>
                <w:color w:val="374151"/>
                <w:sz w:val="24"/>
                <w:szCs w:val="24"/>
              </w:rPr>
            </w:pPr>
            <w:proofErr w:type="spellStart"/>
            <w:r>
              <w:rPr>
                <w:rFonts w:ascii="Calibri" w:eastAsia="Calibri" w:hAnsi="Calibri" w:cs="Calibri"/>
                <w:color w:val="374151"/>
                <w:sz w:val="24"/>
                <w:szCs w:val="24"/>
              </w:rPr>
              <w:t>Mrs</w:t>
            </w:r>
            <w:proofErr w:type="spellEnd"/>
            <w:r>
              <w:rPr>
                <w:rFonts w:ascii="Calibri" w:eastAsia="Calibri" w:hAnsi="Calibri" w:cs="Calibri"/>
                <w:color w:val="374151"/>
                <w:sz w:val="24"/>
                <w:szCs w:val="24"/>
              </w:rPr>
              <w:t xml:space="preserve"> Natasha Clough</w:t>
            </w:r>
            <w:r w:rsidR="002132CF">
              <w:rPr>
                <w:rFonts w:ascii="Calibri" w:eastAsia="Calibri" w:hAnsi="Calibri" w:cs="Calibri"/>
                <w:color w:val="374151"/>
                <w:sz w:val="24"/>
                <w:szCs w:val="24"/>
              </w:rPr>
              <w:t xml:space="preserve"> – School Business Manager</w:t>
            </w:r>
          </w:p>
          <w:p w14:paraId="1B32A0DB" w14:textId="77777777" w:rsidR="00D5550B" w:rsidRDefault="00D5550B">
            <w:pPr>
              <w:spacing w:line="411" w:lineRule="auto"/>
              <w:rPr>
                <w:rFonts w:ascii="Calibri" w:eastAsia="Calibri" w:hAnsi="Calibri" w:cs="Calibri"/>
                <w:color w:val="374151"/>
                <w:sz w:val="24"/>
                <w:szCs w:val="24"/>
              </w:rPr>
            </w:pPr>
          </w:p>
        </w:tc>
        <w:tc>
          <w:tcPr>
            <w:tcW w:w="1932" w:type="dxa"/>
            <w:tcBorders>
              <w:top w:val="nil"/>
              <w:left w:val="single" w:sz="6" w:space="0" w:color="D9D9E3"/>
              <w:bottom w:val="single" w:sz="6" w:space="0" w:color="D9D9E3"/>
              <w:right w:val="nil"/>
            </w:tcBorders>
            <w:tcMar>
              <w:top w:w="100" w:type="dxa"/>
              <w:left w:w="100" w:type="dxa"/>
              <w:bottom w:w="100" w:type="dxa"/>
              <w:right w:w="100" w:type="dxa"/>
            </w:tcMar>
            <w:vAlign w:val="center"/>
          </w:tcPr>
          <w:p w14:paraId="0051A0C5" w14:textId="3AF45EC5" w:rsidR="00D5550B" w:rsidRDefault="00000000">
            <w:pPr>
              <w:spacing w:line="411" w:lineRule="auto"/>
              <w:rPr>
                <w:rFonts w:ascii="Calibri" w:eastAsia="Calibri" w:hAnsi="Calibri" w:cs="Calibri"/>
                <w:color w:val="374151"/>
                <w:sz w:val="24"/>
                <w:szCs w:val="24"/>
              </w:rPr>
            </w:pPr>
            <w:r>
              <w:rPr>
                <w:rFonts w:ascii="Calibri" w:eastAsia="Calibri" w:hAnsi="Calibri" w:cs="Calibri"/>
                <w:color w:val="374151"/>
                <w:sz w:val="24"/>
                <w:szCs w:val="24"/>
              </w:rPr>
              <w:t xml:space="preserve">Head </w:t>
            </w:r>
            <w:r w:rsidR="002132CF">
              <w:rPr>
                <w:rFonts w:ascii="Calibri" w:eastAsia="Calibri" w:hAnsi="Calibri" w:cs="Calibri"/>
                <w:color w:val="374151"/>
                <w:sz w:val="24"/>
                <w:szCs w:val="24"/>
              </w:rPr>
              <w:t>Teacher</w:t>
            </w:r>
          </w:p>
        </w:tc>
        <w:tc>
          <w:tcPr>
            <w:tcW w:w="2086" w:type="dxa"/>
            <w:tcBorders>
              <w:top w:val="nil"/>
              <w:left w:val="single" w:sz="6" w:space="0" w:color="D9D9E3"/>
              <w:bottom w:val="single" w:sz="6" w:space="0" w:color="D9D9E3"/>
              <w:right w:val="single" w:sz="6" w:space="0" w:color="D9D9E3"/>
            </w:tcBorders>
            <w:tcMar>
              <w:top w:w="100" w:type="dxa"/>
              <w:left w:w="100" w:type="dxa"/>
              <w:bottom w:w="100" w:type="dxa"/>
              <w:right w:w="100" w:type="dxa"/>
            </w:tcMar>
            <w:vAlign w:val="center"/>
          </w:tcPr>
          <w:p w14:paraId="56914350" w14:textId="77777777" w:rsidR="00D5550B" w:rsidRDefault="00000000">
            <w:pPr>
              <w:spacing w:line="411" w:lineRule="auto"/>
              <w:rPr>
                <w:rFonts w:ascii="Calibri" w:eastAsia="Calibri" w:hAnsi="Calibri" w:cs="Calibri"/>
                <w:color w:val="374151"/>
                <w:sz w:val="24"/>
                <w:szCs w:val="24"/>
              </w:rPr>
            </w:pPr>
            <w:r>
              <w:rPr>
                <w:rFonts w:ascii="Calibri" w:eastAsia="Calibri" w:hAnsi="Calibri" w:cs="Calibri"/>
                <w:color w:val="374151"/>
                <w:sz w:val="24"/>
                <w:szCs w:val="24"/>
              </w:rPr>
              <w:t xml:space="preserve">Within 10 school days of Level 1 resolution attempt. </w:t>
            </w:r>
            <w:proofErr w:type="gramStart"/>
            <w:r>
              <w:rPr>
                <w:rFonts w:ascii="Calibri" w:eastAsia="Calibri" w:hAnsi="Calibri" w:cs="Calibri"/>
                <w:color w:val="374151"/>
                <w:sz w:val="24"/>
                <w:szCs w:val="24"/>
              </w:rPr>
              <w:t>( not</w:t>
            </w:r>
            <w:proofErr w:type="gramEnd"/>
            <w:r>
              <w:rPr>
                <w:rFonts w:ascii="Calibri" w:eastAsia="Calibri" w:hAnsi="Calibri" w:cs="Calibri"/>
                <w:color w:val="374151"/>
                <w:sz w:val="24"/>
                <w:szCs w:val="24"/>
              </w:rPr>
              <w:t xml:space="preserve"> including school holidays / bank holidays)</w:t>
            </w:r>
          </w:p>
        </w:tc>
      </w:tr>
      <w:tr w:rsidR="00D5550B" w14:paraId="4A348460" w14:textId="77777777">
        <w:trPr>
          <w:trHeight w:val="2495"/>
        </w:trPr>
        <w:tc>
          <w:tcPr>
            <w:tcW w:w="2002" w:type="dxa"/>
            <w:tcBorders>
              <w:top w:val="nil"/>
              <w:left w:val="single" w:sz="6" w:space="0" w:color="D9D9E3"/>
              <w:bottom w:val="single" w:sz="6" w:space="0" w:color="D9D9E3"/>
              <w:right w:val="nil"/>
            </w:tcBorders>
            <w:tcMar>
              <w:top w:w="100" w:type="dxa"/>
              <w:left w:w="100" w:type="dxa"/>
              <w:bottom w:w="100" w:type="dxa"/>
              <w:right w:w="100" w:type="dxa"/>
            </w:tcMar>
            <w:vAlign w:val="center"/>
          </w:tcPr>
          <w:p w14:paraId="5721AF9A" w14:textId="77777777" w:rsidR="00D5550B" w:rsidRDefault="00000000">
            <w:pPr>
              <w:spacing w:line="411" w:lineRule="auto"/>
              <w:rPr>
                <w:rFonts w:ascii="Calibri" w:eastAsia="Calibri" w:hAnsi="Calibri" w:cs="Calibri"/>
                <w:color w:val="374151"/>
                <w:sz w:val="24"/>
                <w:szCs w:val="24"/>
              </w:rPr>
            </w:pPr>
            <w:r>
              <w:rPr>
                <w:rFonts w:ascii="Calibri" w:eastAsia="Calibri" w:hAnsi="Calibri" w:cs="Calibri"/>
                <w:color w:val="374151"/>
                <w:sz w:val="24"/>
                <w:szCs w:val="24"/>
              </w:rPr>
              <w:t>Level 3: School Review</w:t>
            </w:r>
          </w:p>
        </w:tc>
        <w:tc>
          <w:tcPr>
            <w:tcW w:w="3338" w:type="dxa"/>
            <w:tcBorders>
              <w:top w:val="nil"/>
              <w:left w:val="single" w:sz="6" w:space="0" w:color="D9D9E3"/>
              <w:bottom w:val="single" w:sz="6" w:space="0" w:color="D9D9E3"/>
              <w:right w:val="nil"/>
            </w:tcBorders>
            <w:tcMar>
              <w:top w:w="100" w:type="dxa"/>
              <w:left w:w="100" w:type="dxa"/>
              <w:bottom w:w="100" w:type="dxa"/>
              <w:right w:w="100" w:type="dxa"/>
            </w:tcMar>
            <w:vAlign w:val="center"/>
          </w:tcPr>
          <w:p w14:paraId="425A9D2F" w14:textId="77777777" w:rsidR="00D5550B" w:rsidRDefault="00000000">
            <w:pPr>
              <w:spacing w:line="411" w:lineRule="auto"/>
              <w:rPr>
                <w:rFonts w:ascii="Calibri" w:eastAsia="Calibri" w:hAnsi="Calibri" w:cs="Calibri"/>
                <w:color w:val="374151"/>
                <w:sz w:val="24"/>
                <w:szCs w:val="24"/>
              </w:rPr>
            </w:pPr>
            <w:r>
              <w:rPr>
                <w:rFonts w:ascii="Calibri" w:eastAsia="Calibri" w:hAnsi="Calibri" w:cs="Calibri"/>
                <w:color w:val="374151"/>
                <w:sz w:val="24"/>
                <w:szCs w:val="24"/>
              </w:rPr>
              <w:t xml:space="preserve">The staff member reviews the complaint, </w:t>
            </w:r>
            <w:proofErr w:type="gramStart"/>
            <w:r>
              <w:rPr>
                <w:rFonts w:ascii="Calibri" w:eastAsia="Calibri" w:hAnsi="Calibri" w:cs="Calibri"/>
                <w:color w:val="374151"/>
                <w:sz w:val="24"/>
                <w:szCs w:val="24"/>
              </w:rPr>
              <w:t>conducts an investigation</w:t>
            </w:r>
            <w:proofErr w:type="gramEnd"/>
            <w:r>
              <w:rPr>
                <w:rFonts w:ascii="Calibri" w:eastAsia="Calibri" w:hAnsi="Calibri" w:cs="Calibri"/>
                <w:color w:val="374151"/>
                <w:sz w:val="24"/>
                <w:szCs w:val="24"/>
              </w:rPr>
              <w:t xml:space="preserve"> if necessary, and provides a written response to the complainant.</w:t>
            </w:r>
          </w:p>
        </w:tc>
        <w:tc>
          <w:tcPr>
            <w:tcW w:w="1932" w:type="dxa"/>
            <w:tcBorders>
              <w:top w:val="nil"/>
              <w:left w:val="single" w:sz="6" w:space="0" w:color="D9D9E3"/>
              <w:bottom w:val="single" w:sz="6" w:space="0" w:color="D9D9E3"/>
              <w:right w:val="nil"/>
            </w:tcBorders>
            <w:tcMar>
              <w:top w:w="100" w:type="dxa"/>
              <w:left w:w="100" w:type="dxa"/>
              <w:bottom w:w="100" w:type="dxa"/>
              <w:right w:w="100" w:type="dxa"/>
            </w:tcMar>
            <w:vAlign w:val="center"/>
          </w:tcPr>
          <w:p w14:paraId="294CDFAE" w14:textId="108CA339" w:rsidR="00D5550B" w:rsidRDefault="00000000">
            <w:pPr>
              <w:spacing w:line="411" w:lineRule="auto"/>
              <w:rPr>
                <w:rFonts w:ascii="Calibri" w:eastAsia="Calibri" w:hAnsi="Calibri" w:cs="Calibri"/>
                <w:color w:val="374151"/>
                <w:sz w:val="24"/>
                <w:szCs w:val="24"/>
              </w:rPr>
            </w:pPr>
            <w:r>
              <w:rPr>
                <w:rFonts w:ascii="Calibri" w:eastAsia="Calibri" w:hAnsi="Calibri" w:cs="Calibri"/>
                <w:color w:val="374151"/>
                <w:sz w:val="24"/>
                <w:szCs w:val="24"/>
              </w:rPr>
              <w:t xml:space="preserve">Head </w:t>
            </w:r>
            <w:r w:rsidR="002132CF">
              <w:rPr>
                <w:rFonts w:ascii="Calibri" w:eastAsia="Calibri" w:hAnsi="Calibri" w:cs="Calibri"/>
                <w:color w:val="374151"/>
                <w:sz w:val="24"/>
                <w:szCs w:val="24"/>
              </w:rPr>
              <w:t>Teacher</w:t>
            </w:r>
          </w:p>
        </w:tc>
        <w:tc>
          <w:tcPr>
            <w:tcW w:w="2086" w:type="dxa"/>
            <w:tcBorders>
              <w:top w:val="nil"/>
              <w:left w:val="single" w:sz="6" w:space="0" w:color="D9D9E3"/>
              <w:bottom w:val="single" w:sz="6" w:space="0" w:color="D9D9E3"/>
              <w:right w:val="single" w:sz="6" w:space="0" w:color="D9D9E3"/>
            </w:tcBorders>
            <w:tcMar>
              <w:top w:w="100" w:type="dxa"/>
              <w:left w:w="100" w:type="dxa"/>
              <w:bottom w:w="100" w:type="dxa"/>
              <w:right w:w="100" w:type="dxa"/>
            </w:tcMar>
            <w:vAlign w:val="center"/>
          </w:tcPr>
          <w:p w14:paraId="052DD441" w14:textId="77777777" w:rsidR="00D5550B" w:rsidRDefault="00000000">
            <w:pPr>
              <w:spacing w:line="411" w:lineRule="auto"/>
              <w:rPr>
                <w:rFonts w:ascii="Calibri" w:eastAsia="Calibri" w:hAnsi="Calibri" w:cs="Calibri"/>
                <w:color w:val="374151"/>
                <w:sz w:val="24"/>
                <w:szCs w:val="24"/>
              </w:rPr>
            </w:pPr>
            <w:r>
              <w:rPr>
                <w:rFonts w:ascii="Calibri" w:eastAsia="Calibri" w:hAnsi="Calibri" w:cs="Calibri"/>
                <w:color w:val="374151"/>
                <w:sz w:val="24"/>
                <w:szCs w:val="24"/>
              </w:rPr>
              <w:t xml:space="preserve">Within 15 school days of receiving the formal complaint </w:t>
            </w:r>
            <w:proofErr w:type="gramStart"/>
            <w:r>
              <w:rPr>
                <w:rFonts w:ascii="Calibri" w:eastAsia="Calibri" w:hAnsi="Calibri" w:cs="Calibri"/>
                <w:color w:val="374151"/>
                <w:sz w:val="24"/>
                <w:szCs w:val="24"/>
              </w:rPr>
              <w:t>( not</w:t>
            </w:r>
            <w:proofErr w:type="gramEnd"/>
            <w:r>
              <w:rPr>
                <w:rFonts w:ascii="Calibri" w:eastAsia="Calibri" w:hAnsi="Calibri" w:cs="Calibri"/>
                <w:color w:val="374151"/>
                <w:sz w:val="24"/>
                <w:szCs w:val="24"/>
              </w:rPr>
              <w:t xml:space="preserve"> including school </w:t>
            </w:r>
            <w:r>
              <w:rPr>
                <w:rFonts w:ascii="Calibri" w:eastAsia="Calibri" w:hAnsi="Calibri" w:cs="Calibri"/>
                <w:color w:val="374151"/>
                <w:sz w:val="24"/>
                <w:szCs w:val="24"/>
              </w:rPr>
              <w:lastRenderedPageBreak/>
              <w:t>holidays / bank holidays)</w:t>
            </w:r>
          </w:p>
        </w:tc>
      </w:tr>
      <w:tr w:rsidR="00D5550B" w14:paraId="3408A737" w14:textId="77777777">
        <w:trPr>
          <w:trHeight w:val="2495"/>
        </w:trPr>
        <w:tc>
          <w:tcPr>
            <w:tcW w:w="2002" w:type="dxa"/>
            <w:tcBorders>
              <w:top w:val="nil"/>
              <w:left w:val="single" w:sz="6" w:space="0" w:color="D9D9E3"/>
              <w:bottom w:val="single" w:sz="6" w:space="0" w:color="D9D9E3"/>
              <w:right w:val="nil"/>
            </w:tcBorders>
            <w:tcMar>
              <w:top w:w="100" w:type="dxa"/>
              <w:left w:w="100" w:type="dxa"/>
              <w:bottom w:w="100" w:type="dxa"/>
              <w:right w:w="100" w:type="dxa"/>
            </w:tcMar>
            <w:vAlign w:val="center"/>
          </w:tcPr>
          <w:p w14:paraId="5BC72AA5" w14:textId="77777777" w:rsidR="00D5550B" w:rsidRDefault="00000000">
            <w:pPr>
              <w:spacing w:line="411" w:lineRule="auto"/>
              <w:rPr>
                <w:rFonts w:ascii="Calibri" w:eastAsia="Calibri" w:hAnsi="Calibri" w:cs="Calibri"/>
                <w:color w:val="374151"/>
                <w:sz w:val="24"/>
                <w:szCs w:val="24"/>
              </w:rPr>
            </w:pPr>
            <w:r>
              <w:rPr>
                <w:rFonts w:ascii="Calibri" w:eastAsia="Calibri" w:hAnsi="Calibri" w:cs="Calibri"/>
                <w:color w:val="374151"/>
                <w:sz w:val="24"/>
                <w:szCs w:val="24"/>
              </w:rPr>
              <w:lastRenderedPageBreak/>
              <w:t>Level 4: Resolution and review meeting</w:t>
            </w:r>
          </w:p>
        </w:tc>
        <w:tc>
          <w:tcPr>
            <w:tcW w:w="3338" w:type="dxa"/>
            <w:tcBorders>
              <w:top w:val="nil"/>
              <w:left w:val="single" w:sz="6" w:space="0" w:color="D9D9E3"/>
              <w:bottom w:val="single" w:sz="6" w:space="0" w:color="D9D9E3"/>
              <w:right w:val="nil"/>
            </w:tcBorders>
            <w:tcMar>
              <w:top w:w="100" w:type="dxa"/>
              <w:left w:w="100" w:type="dxa"/>
              <w:bottom w:w="100" w:type="dxa"/>
              <w:right w:w="100" w:type="dxa"/>
            </w:tcMar>
            <w:vAlign w:val="center"/>
          </w:tcPr>
          <w:p w14:paraId="02BBD8A2" w14:textId="77777777" w:rsidR="00D5550B" w:rsidRDefault="00000000">
            <w:pPr>
              <w:spacing w:line="411" w:lineRule="auto"/>
              <w:rPr>
                <w:rFonts w:ascii="Calibri" w:eastAsia="Calibri" w:hAnsi="Calibri" w:cs="Calibri"/>
                <w:color w:val="374151"/>
                <w:sz w:val="24"/>
                <w:szCs w:val="24"/>
              </w:rPr>
            </w:pPr>
            <w:r>
              <w:rPr>
                <w:rFonts w:ascii="Calibri" w:eastAsia="Calibri" w:hAnsi="Calibri" w:cs="Calibri"/>
                <w:color w:val="374151"/>
                <w:sz w:val="24"/>
                <w:szCs w:val="24"/>
              </w:rPr>
              <w:t xml:space="preserve">Complainant and relevant staff to agree on timely meeting to discuss review of complaint to date </w:t>
            </w:r>
            <w:proofErr w:type="gramStart"/>
            <w:r>
              <w:rPr>
                <w:rFonts w:ascii="Calibri" w:eastAsia="Calibri" w:hAnsi="Calibri" w:cs="Calibri"/>
                <w:color w:val="374151"/>
                <w:sz w:val="24"/>
                <w:szCs w:val="24"/>
              </w:rPr>
              <w:t>( Levels</w:t>
            </w:r>
            <w:proofErr w:type="gramEnd"/>
            <w:r>
              <w:rPr>
                <w:rFonts w:ascii="Calibri" w:eastAsia="Calibri" w:hAnsi="Calibri" w:cs="Calibri"/>
                <w:color w:val="374151"/>
                <w:sz w:val="24"/>
                <w:szCs w:val="24"/>
              </w:rPr>
              <w:t xml:space="preserve"> 1-3) meeting to be </w:t>
            </w:r>
            <w:proofErr w:type="spellStart"/>
            <w:r>
              <w:rPr>
                <w:rFonts w:ascii="Calibri" w:eastAsia="Calibri" w:hAnsi="Calibri" w:cs="Calibri"/>
                <w:color w:val="374151"/>
                <w:sz w:val="24"/>
                <w:szCs w:val="24"/>
              </w:rPr>
              <w:t>minuted</w:t>
            </w:r>
            <w:proofErr w:type="spellEnd"/>
            <w:r>
              <w:rPr>
                <w:rFonts w:ascii="Calibri" w:eastAsia="Calibri" w:hAnsi="Calibri" w:cs="Calibri"/>
                <w:color w:val="374151"/>
                <w:sz w:val="24"/>
                <w:szCs w:val="24"/>
              </w:rPr>
              <w:t xml:space="preserve"> and logged as per schools recording policy. Any resolution to be agreed and signed by all parties at conclusion of meeting</w:t>
            </w:r>
          </w:p>
        </w:tc>
        <w:tc>
          <w:tcPr>
            <w:tcW w:w="1932" w:type="dxa"/>
            <w:tcBorders>
              <w:top w:val="nil"/>
              <w:left w:val="single" w:sz="6" w:space="0" w:color="D9D9E3"/>
              <w:bottom w:val="single" w:sz="6" w:space="0" w:color="D9D9E3"/>
              <w:right w:val="nil"/>
            </w:tcBorders>
            <w:tcMar>
              <w:top w:w="100" w:type="dxa"/>
              <w:left w:w="100" w:type="dxa"/>
              <w:bottom w:w="100" w:type="dxa"/>
              <w:right w:w="100" w:type="dxa"/>
            </w:tcMar>
            <w:vAlign w:val="center"/>
          </w:tcPr>
          <w:p w14:paraId="7B726669" w14:textId="77777777" w:rsidR="00D5550B" w:rsidRDefault="00000000">
            <w:pPr>
              <w:spacing w:line="411" w:lineRule="auto"/>
              <w:rPr>
                <w:rFonts w:ascii="Calibri" w:eastAsia="Calibri" w:hAnsi="Calibri" w:cs="Calibri"/>
                <w:color w:val="374151"/>
                <w:sz w:val="24"/>
                <w:szCs w:val="24"/>
              </w:rPr>
            </w:pPr>
            <w:r>
              <w:rPr>
                <w:rFonts w:ascii="Calibri" w:eastAsia="Calibri" w:hAnsi="Calibri" w:cs="Calibri"/>
                <w:color w:val="374151"/>
                <w:sz w:val="24"/>
                <w:szCs w:val="24"/>
              </w:rPr>
              <w:t xml:space="preserve">All </w:t>
            </w:r>
          </w:p>
        </w:tc>
        <w:tc>
          <w:tcPr>
            <w:tcW w:w="2086" w:type="dxa"/>
            <w:tcBorders>
              <w:top w:val="nil"/>
              <w:left w:val="single" w:sz="6" w:space="0" w:color="D9D9E3"/>
              <w:bottom w:val="single" w:sz="6" w:space="0" w:color="D9D9E3"/>
              <w:right w:val="single" w:sz="6" w:space="0" w:color="D9D9E3"/>
            </w:tcBorders>
            <w:tcMar>
              <w:top w:w="100" w:type="dxa"/>
              <w:left w:w="100" w:type="dxa"/>
              <w:bottom w:w="100" w:type="dxa"/>
              <w:right w:w="100" w:type="dxa"/>
            </w:tcMar>
            <w:vAlign w:val="center"/>
          </w:tcPr>
          <w:p w14:paraId="6ECFC6C0" w14:textId="77777777" w:rsidR="00D5550B" w:rsidRDefault="00000000">
            <w:pPr>
              <w:spacing w:line="411" w:lineRule="auto"/>
              <w:rPr>
                <w:rFonts w:ascii="Calibri" w:eastAsia="Calibri" w:hAnsi="Calibri" w:cs="Calibri"/>
                <w:color w:val="374151"/>
                <w:sz w:val="24"/>
                <w:szCs w:val="24"/>
              </w:rPr>
            </w:pPr>
            <w:r>
              <w:rPr>
                <w:rFonts w:ascii="Calibri" w:eastAsia="Calibri" w:hAnsi="Calibri" w:cs="Calibri"/>
                <w:color w:val="374151"/>
                <w:sz w:val="24"/>
                <w:szCs w:val="24"/>
              </w:rPr>
              <w:t xml:space="preserve">Within 10 school days of Level 3 letter feedback being received </w:t>
            </w:r>
            <w:proofErr w:type="gramStart"/>
            <w:r>
              <w:rPr>
                <w:rFonts w:ascii="Calibri" w:eastAsia="Calibri" w:hAnsi="Calibri" w:cs="Calibri"/>
                <w:color w:val="374151"/>
                <w:sz w:val="24"/>
                <w:szCs w:val="24"/>
              </w:rPr>
              <w:t>( not</w:t>
            </w:r>
            <w:proofErr w:type="gramEnd"/>
            <w:r>
              <w:rPr>
                <w:rFonts w:ascii="Calibri" w:eastAsia="Calibri" w:hAnsi="Calibri" w:cs="Calibri"/>
                <w:color w:val="374151"/>
                <w:sz w:val="24"/>
                <w:szCs w:val="24"/>
              </w:rPr>
              <w:t xml:space="preserve"> including school holidays / bank holidays)</w:t>
            </w:r>
          </w:p>
        </w:tc>
      </w:tr>
      <w:tr w:rsidR="00D5550B" w14:paraId="2422272C" w14:textId="77777777">
        <w:trPr>
          <w:trHeight w:val="2135"/>
        </w:trPr>
        <w:tc>
          <w:tcPr>
            <w:tcW w:w="2002" w:type="dxa"/>
            <w:tcBorders>
              <w:top w:val="nil"/>
              <w:left w:val="single" w:sz="6" w:space="0" w:color="D9D9E3"/>
              <w:bottom w:val="single" w:sz="6" w:space="0" w:color="D9D9E3"/>
              <w:right w:val="nil"/>
            </w:tcBorders>
            <w:tcMar>
              <w:top w:w="100" w:type="dxa"/>
              <w:left w:w="100" w:type="dxa"/>
              <w:bottom w:w="100" w:type="dxa"/>
              <w:right w:w="100" w:type="dxa"/>
            </w:tcMar>
            <w:vAlign w:val="center"/>
          </w:tcPr>
          <w:p w14:paraId="4B03BF5F" w14:textId="77777777" w:rsidR="00D5550B" w:rsidRDefault="00000000">
            <w:pPr>
              <w:spacing w:line="411" w:lineRule="auto"/>
              <w:rPr>
                <w:rFonts w:ascii="Calibri" w:eastAsia="Calibri" w:hAnsi="Calibri" w:cs="Calibri"/>
                <w:color w:val="374151"/>
                <w:sz w:val="24"/>
                <w:szCs w:val="24"/>
              </w:rPr>
            </w:pPr>
            <w:r>
              <w:rPr>
                <w:rFonts w:ascii="Calibri" w:eastAsia="Calibri" w:hAnsi="Calibri" w:cs="Calibri"/>
                <w:color w:val="374151"/>
                <w:sz w:val="24"/>
                <w:szCs w:val="24"/>
              </w:rPr>
              <w:t>Level 5: External Mediation</w:t>
            </w:r>
          </w:p>
        </w:tc>
        <w:tc>
          <w:tcPr>
            <w:tcW w:w="3338" w:type="dxa"/>
            <w:tcBorders>
              <w:top w:val="nil"/>
              <w:left w:val="single" w:sz="6" w:space="0" w:color="D9D9E3"/>
              <w:bottom w:val="single" w:sz="6" w:space="0" w:color="D9D9E3"/>
              <w:right w:val="nil"/>
            </w:tcBorders>
            <w:tcMar>
              <w:top w:w="100" w:type="dxa"/>
              <w:left w:w="100" w:type="dxa"/>
              <w:bottom w:w="100" w:type="dxa"/>
              <w:right w:w="100" w:type="dxa"/>
            </w:tcMar>
            <w:vAlign w:val="center"/>
          </w:tcPr>
          <w:p w14:paraId="69D189E8" w14:textId="77777777" w:rsidR="00D5550B" w:rsidRDefault="00000000">
            <w:pPr>
              <w:spacing w:line="411" w:lineRule="auto"/>
              <w:rPr>
                <w:rFonts w:ascii="Calibri" w:eastAsia="Calibri" w:hAnsi="Calibri" w:cs="Calibri"/>
                <w:color w:val="374151"/>
                <w:sz w:val="24"/>
                <w:szCs w:val="24"/>
              </w:rPr>
            </w:pPr>
            <w:r>
              <w:rPr>
                <w:rFonts w:ascii="Calibri" w:eastAsia="Calibri" w:hAnsi="Calibri" w:cs="Calibri"/>
                <w:color w:val="374151"/>
                <w:sz w:val="24"/>
                <w:szCs w:val="24"/>
              </w:rPr>
              <w:t>If resolution is still elusive, the complainant and school may agree to engage an external mediator to facilitate a resolution.</w:t>
            </w:r>
          </w:p>
        </w:tc>
        <w:tc>
          <w:tcPr>
            <w:tcW w:w="1932" w:type="dxa"/>
            <w:tcBorders>
              <w:top w:val="nil"/>
              <w:left w:val="single" w:sz="6" w:space="0" w:color="D9D9E3"/>
              <w:bottom w:val="single" w:sz="6" w:space="0" w:color="D9D9E3"/>
              <w:right w:val="nil"/>
            </w:tcBorders>
            <w:tcMar>
              <w:top w:w="100" w:type="dxa"/>
              <w:left w:w="100" w:type="dxa"/>
              <w:bottom w:w="100" w:type="dxa"/>
              <w:right w:w="100" w:type="dxa"/>
            </w:tcMar>
            <w:vAlign w:val="center"/>
          </w:tcPr>
          <w:p w14:paraId="26A486CA" w14:textId="77777777" w:rsidR="00D5550B" w:rsidRDefault="00000000">
            <w:pPr>
              <w:spacing w:line="411" w:lineRule="auto"/>
              <w:rPr>
                <w:rFonts w:ascii="Calibri" w:eastAsia="Calibri" w:hAnsi="Calibri" w:cs="Calibri"/>
                <w:color w:val="374151"/>
                <w:sz w:val="24"/>
                <w:szCs w:val="24"/>
              </w:rPr>
            </w:pPr>
            <w:r>
              <w:rPr>
                <w:rFonts w:ascii="Calibri" w:eastAsia="Calibri" w:hAnsi="Calibri" w:cs="Calibri"/>
                <w:color w:val="374151"/>
                <w:sz w:val="24"/>
                <w:szCs w:val="24"/>
              </w:rPr>
              <w:t>External Mediator</w:t>
            </w:r>
          </w:p>
        </w:tc>
        <w:tc>
          <w:tcPr>
            <w:tcW w:w="2086" w:type="dxa"/>
            <w:tcBorders>
              <w:top w:val="nil"/>
              <w:left w:val="single" w:sz="6" w:space="0" w:color="D9D9E3"/>
              <w:bottom w:val="single" w:sz="6" w:space="0" w:color="D9D9E3"/>
              <w:right w:val="single" w:sz="6" w:space="0" w:color="D9D9E3"/>
            </w:tcBorders>
            <w:tcMar>
              <w:top w:w="100" w:type="dxa"/>
              <w:left w:w="100" w:type="dxa"/>
              <w:bottom w:w="100" w:type="dxa"/>
              <w:right w:w="100" w:type="dxa"/>
            </w:tcMar>
            <w:vAlign w:val="center"/>
          </w:tcPr>
          <w:p w14:paraId="10D3B061" w14:textId="77777777" w:rsidR="00D5550B" w:rsidRDefault="00000000">
            <w:pPr>
              <w:spacing w:line="411" w:lineRule="auto"/>
              <w:rPr>
                <w:rFonts w:ascii="Calibri" w:eastAsia="Calibri" w:hAnsi="Calibri" w:cs="Calibri"/>
                <w:color w:val="374151"/>
                <w:sz w:val="24"/>
                <w:szCs w:val="24"/>
              </w:rPr>
            </w:pPr>
            <w:r>
              <w:rPr>
                <w:rFonts w:ascii="Calibri" w:eastAsia="Calibri" w:hAnsi="Calibri" w:cs="Calibri"/>
                <w:color w:val="374151"/>
                <w:sz w:val="24"/>
                <w:szCs w:val="24"/>
              </w:rPr>
              <w:t>To be determined based on mediator availability</w:t>
            </w:r>
          </w:p>
        </w:tc>
      </w:tr>
    </w:tbl>
    <w:p w14:paraId="4D4583B9" w14:textId="77777777" w:rsidR="00D5550B" w:rsidRDefault="00D5550B">
      <w:pPr>
        <w:pBdr>
          <w:top w:val="none" w:sz="0" w:space="0" w:color="D9D9E3"/>
          <w:left w:val="none" w:sz="0" w:space="0" w:color="D9D9E3"/>
          <w:bottom w:val="none" w:sz="0" w:space="0" w:color="D9D9E3"/>
          <w:right w:val="none" w:sz="0" w:space="0" w:color="D9D9E3"/>
          <w:between w:val="none" w:sz="0" w:space="0" w:color="D9D9E3"/>
        </w:pBdr>
        <w:spacing w:before="280" w:line="384" w:lineRule="auto"/>
        <w:rPr>
          <w:rFonts w:ascii="Calibri" w:eastAsia="Calibri" w:hAnsi="Calibri" w:cs="Calibri"/>
          <w:b/>
          <w:sz w:val="28"/>
          <w:szCs w:val="28"/>
        </w:rPr>
      </w:pPr>
    </w:p>
    <w:p w14:paraId="7EDB27A5" w14:textId="77777777" w:rsidR="00D5550B" w:rsidRDefault="00D5550B">
      <w:pPr>
        <w:pBdr>
          <w:top w:val="none" w:sz="0" w:space="0" w:color="D9D9E3"/>
          <w:left w:val="none" w:sz="0" w:space="0" w:color="D9D9E3"/>
          <w:bottom w:val="none" w:sz="0" w:space="0" w:color="D9D9E3"/>
          <w:right w:val="none" w:sz="0" w:space="0" w:color="D9D9E3"/>
          <w:between w:val="none" w:sz="0" w:space="0" w:color="D9D9E3"/>
        </w:pBdr>
        <w:spacing w:before="280" w:line="384" w:lineRule="auto"/>
        <w:rPr>
          <w:rFonts w:ascii="Calibri" w:eastAsia="Calibri" w:hAnsi="Calibri" w:cs="Calibri"/>
          <w:b/>
          <w:sz w:val="28"/>
          <w:szCs w:val="28"/>
        </w:rPr>
      </w:pPr>
    </w:p>
    <w:p w14:paraId="07161105" w14:textId="77777777" w:rsidR="002132CF" w:rsidRDefault="002132CF">
      <w:pPr>
        <w:pBdr>
          <w:top w:val="none" w:sz="0" w:space="0" w:color="D9D9E3"/>
          <w:left w:val="none" w:sz="0" w:space="0" w:color="D9D9E3"/>
          <w:bottom w:val="none" w:sz="0" w:space="0" w:color="D9D9E3"/>
          <w:right w:val="none" w:sz="0" w:space="0" w:color="D9D9E3"/>
          <w:between w:val="none" w:sz="0" w:space="0" w:color="D9D9E3"/>
        </w:pBdr>
        <w:spacing w:before="280" w:line="384" w:lineRule="auto"/>
        <w:rPr>
          <w:rFonts w:ascii="Calibri" w:eastAsia="Calibri" w:hAnsi="Calibri" w:cs="Calibri"/>
          <w:b/>
          <w:sz w:val="28"/>
          <w:szCs w:val="28"/>
        </w:rPr>
      </w:pPr>
    </w:p>
    <w:p w14:paraId="57AE2716" w14:textId="7E5E6A04" w:rsidR="00D5550B" w:rsidRDefault="00000000">
      <w:pPr>
        <w:pBdr>
          <w:top w:val="none" w:sz="0" w:space="0" w:color="D9D9E3"/>
          <w:left w:val="none" w:sz="0" w:space="0" w:color="D9D9E3"/>
          <w:bottom w:val="none" w:sz="0" w:space="0" w:color="D9D9E3"/>
          <w:right w:val="none" w:sz="0" w:space="0" w:color="D9D9E3"/>
          <w:between w:val="none" w:sz="0" w:space="0" w:color="D9D9E3"/>
        </w:pBdr>
        <w:spacing w:before="280" w:line="384" w:lineRule="auto"/>
        <w:rPr>
          <w:rFonts w:ascii="Calibri" w:eastAsia="Calibri" w:hAnsi="Calibri" w:cs="Calibri"/>
          <w:b/>
          <w:sz w:val="28"/>
          <w:szCs w:val="28"/>
        </w:rPr>
      </w:pPr>
      <w:r>
        <w:rPr>
          <w:rFonts w:ascii="Calibri" w:eastAsia="Calibri" w:hAnsi="Calibri" w:cs="Calibri"/>
          <w:b/>
          <w:sz w:val="28"/>
          <w:szCs w:val="28"/>
        </w:rPr>
        <w:t>General Complaint Procedures</w:t>
      </w:r>
    </w:p>
    <w:p w14:paraId="4F1E5E78" w14:textId="77777777" w:rsidR="00D5550B" w:rsidRDefault="00000000">
      <w:pPr>
        <w:pBdr>
          <w:top w:val="none" w:sz="0" w:space="0" w:color="D9D9E3"/>
          <w:left w:val="none" w:sz="0" w:space="0" w:color="D9D9E3"/>
          <w:bottom w:val="none" w:sz="0" w:space="0" w:color="D9D9E3"/>
          <w:right w:val="none" w:sz="0" w:space="0" w:color="D9D9E3"/>
          <w:between w:val="none" w:sz="0" w:space="0" w:color="D9D9E3"/>
        </w:pBdr>
        <w:spacing w:after="300"/>
        <w:rPr>
          <w:rFonts w:ascii="Calibri" w:eastAsia="Calibri" w:hAnsi="Calibri" w:cs="Calibri"/>
          <w:color w:val="374151"/>
          <w:sz w:val="24"/>
          <w:szCs w:val="24"/>
        </w:rPr>
      </w:pPr>
      <w:r>
        <w:rPr>
          <w:rFonts w:ascii="Calibri" w:eastAsia="Calibri" w:hAnsi="Calibri" w:cs="Calibri"/>
          <w:i/>
          <w:color w:val="374151"/>
          <w:sz w:val="24"/>
          <w:szCs w:val="24"/>
        </w:rPr>
        <w:t>Documentation</w:t>
      </w:r>
      <w:r>
        <w:rPr>
          <w:rFonts w:ascii="Calibri" w:eastAsia="Calibri" w:hAnsi="Calibri" w:cs="Calibri"/>
          <w:color w:val="374151"/>
          <w:sz w:val="24"/>
          <w:szCs w:val="24"/>
        </w:rPr>
        <w:t>: All complaints, formal or informal, must be documented in writing.</w:t>
      </w:r>
    </w:p>
    <w:p w14:paraId="5B1AF583" w14:textId="77777777" w:rsidR="00D5550B" w:rsidRDefault="00000000">
      <w:pPr>
        <w:pBdr>
          <w:top w:val="none" w:sz="0" w:space="0" w:color="D9D9E3"/>
          <w:left w:val="none" w:sz="0" w:space="0" w:color="D9D9E3"/>
          <w:bottom w:val="none" w:sz="0" w:space="0" w:color="D9D9E3"/>
          <w:right w:val="none" w:sz="0" w:space="0" w:color="D9D9E3"/>
          <w:between w:val="none" w:sz="0" w:space="0" w:color="D9D9E3"/>
        </w:pBdr>
        <w:spacing w:after="300"/>
        <w:rPr>
          <w:rFonts w:ascii="Calibri" w:eastAsia="Calibri" w:hAnsi="Calibri" w:cs="Calibri"/>
          <w:color w:val="374151"/>
          <w:sz w:val="24"/>
          <w:szCs w:val="24"/>
        </w:rPr>
      </w:pPr>
      <w:r>
        <w:rPr>
          <w:rFonts w:ascii="Calibri" w:eastAsia="Calibri" w:hAnsi="Calibri" w:cs="Calibri"/>
          <w:i/>
          <w:color w:val="374151"/>
          <w:sz w:val="24"/>
          <w:szCs w:val="24"/>
        </w:rPr>
        <w:t>Confidentiality</w:t>
      </w:r>
      <w:r>
        <w:rPr>
          <w:rFonts w:ascii="Calibri" w:eastAsia="Calibri" w:hAnsi="Calibri" w:cs="Calibri"/>
          <w:color w:val="374151"/>
          <w:sz w:val="24"/>
          <w:szCs w:val="24"/>
        </w:rPr>
        <w:t>: Every effort will be made to handle complaints with discretion and protect the privacy of all parties involved.</w:t>
      </w:r>
    </w:p>
    <w:p w14:paraId="34498D37" w14:textId="77777777" w:rsidR="00D5550B" w:rsidRDefault="00000000">
      <w:pPr>
        <w:pBdr>
          <w:top w:val="none" w:sz="0" w:space="0" w:color="D9D9E3"/>
          <w:left w:val="none" w:sz="0" w:space="0" w:color="D9D9E3"/>
          <w:bottom w:val="none" w:sz="0" w:space="0" w:color="D9D9E3"/>
          <w:right w:val="none" w:sz="0" w:space="0" w:color="D9D9E3"/>
          <w:between w:val="none" w:sz="0" w:space="0" w:color="D9D9E3"/>
        </w:pBdr>
        <w:spacing w:after="300"/>
        <w:rPr>
          <w:rFonts w:ascii="Calibri" w:eastAsia="Calibri" w:hAnsi="Calibri" w:cs="Calibri"/>
          <w:color w:val="374151"/>
          <w:sz w:val="24"/>
          <w:szCs w:val="24"/>
        </w:rPr>
      </w:pPr>
      <w:r>
        <w:rPr>
          <w:rFonts w:ascii="Calibri" w:eastAsia="Calibri" w:hAnsi="Calibri" w:cs="Calibri"/>
          <w:i/>
          <w:color w:val="374151"/>
          <w:sz w:val="24"/>
          <w:szCs w:val="24"/>
        </w:rPr>
        <w:t>Timely Responses</w:t>
      </w:r>
      <w:r>
        <w:rPr>
          <w:rFonts w:ascii="Calibri" w:eastAsia="Calibri" w:hAnsi="Calibri" w:cs="Calibri"/>
          <w:color w:val="374151"/>
          <w:sz w:val="24"/>
          <w:szCs w:val="24"/>
        </w:rPr>
        <w:t>: At each level, a response will be provided within the specified timeline. If an extension is required, the complainant will be informed.</w:t>
      </w:r>
    </w:p>
    <w:p w14:paraId="04BB3CAB" w14:textId="77777777" w:rsidR="00D5550B" w:rsidRDefault="00000000">
      <w:pPr>
        <w:pBdr>
          <w:top w:val="none" w:sz="0" w:space="0" w:color="D9D9E3"/>
          <w:left w:val="none" w:sz="0" w:space="0" w:color="D9D9E3"/>
          <w:bottom w:val="none" w:sz="0" w:space="0" w:color="D9D9E3"/>
          <w:right w:val="none" w:sz="0" w:space="0" w:color="D9D9E3"/>
          <w:between w:val="none" w:sz="0" w:space="0" w:color="D9D9E3"/>
        </w:pBdr>
        <w:spacing w:after="300"/>
        <w:rPr>
          <w:rFonts w:ascii="Calibri" w:eastAsia="Calibri" w:hAnsi="Calibri" w:cs="Calibri"/>
          <w:color w:val="374151"/>
          <w:sz w:val="24"/>
          <w:szCs w:val="24"/>
        </w:rPr>
      </w:pPr>
      <w:r>
        <w:rPr>
          <w:rFonts w:ascii="Calibri" w:eastAsia="Calibri" w:hAnsi="Calibri" w:cs="Calibri"/>
          <w:i/>
          <w:color w:val="374151"/>
          <w:sz w:val="24"/>
          <w:szCs w:val="24"/>
        </w:rPr>
        <w:t>Resolution</w:t>
      </w:r>
      <w:r>
        <w:rPr>
          <w:rFonts w:ascii="Calibri" w:eastAsia="Calibri" w:hAnsi="Calibri" w:cs="Calibri"/>
          <w:color w:val="374151"/>
          <w:sz w:val="24"/>
          <w:szCs w:val="24"/>
        </w:rPr>
        <w:t>: The goal at every level is to achieve a fair and amicable resolution. If resolution is not achieved, the complainant will be informed of the next escalation step.</w:t>
      </w:r>
    </w:p>
    <w:p w14:paraId="1E131CC1" w14:textId="77777777" w:rsidR="00D5550B" w:rsidRDefault="00000000">
      <w:pPr>
        <w:pBdr>
          <w:top w:val="none" w:sz="0" w:space="0" w:color="D9D9E3"/>
          <w:left w:val="none" w:sz="0" w:space="0" w:color="D9D9E3"/>
          <w:bottom w:val="none" w:sz="0" w:space="0" w:color="D9D9E3"/>
          <w:right w:val="none" w:sz="0" w:space="0" w:color="D9D9E3"/>
          <w:between w:val="none" w:sz="0" w:space="0" w:color="D9D9E3"/>
        </w:pBdr>
        <w:spacing w:after="300"/>
        <w:rPr>
          <w:rFonts w:ascii="Calibri" w:eastAsia="Calibri" w:hAnsi="Calibri" w:cs="Calibri"/>
          <w:color w:val="374151"/>
          <w:sz w:val="24"/>
          <w:szCs w:val="24"/>
        </w:rPr>
      </w:pPr>
      <w:r>
        <w:rPr>
          <w:rFonts w:ascii="Calibri" w:eastAsia="Calibri" w:hAnsi="Calibri" w:cs="Calibri"/>
          <w:i/>
          <w:color w:val="374151"/>
          <w:sz w:val="24"/>
          <w:szCs w:val="24"/>
        </w:rPr>
        <w:t>Feedback Loop</w:t>
      </w:r>
      <w:r>
        <w:rPr>
          <w:rFonts w:ascii="Calibri" w:eastAsia="Calibri" w:hAnsi="Calibri" w:cs="Calibri"/>
          <w:color w:val="374151"/>
          <w:sz w:val="24"/>
          <w:szCs w:val="24"/>
        </w:rPr>
        <w:t>: A feedback loop will be maintained to assess the effectiveness of the complaint resolution process, allowing for continuous improvement.</w:t>
      </w:r>
    </w:p>
    <w:p w14:paraId="5E42C72B" w14:textId="77777777" w:rsidR="00D5550B" w:rsidRDefault="00000000">
      <w:pPr>
        <w:pBdr>
          <w:top w:val="none" w:sz="0" w:space="0" w:color="D9D9E3"/>
          <w:left w:val="none" w:sz="0" w:space="0" w:color="D9D9E3"/>
          <w:bottom w:val="none" w:sz="0" w:space="0" w:color="D9D9E3"/>
          <w:right w:val="none" w:sz="0" w:space="0" w:color="D9D9E3"/>
          <w:between w:val="none" w:sz="0" w:space="0" w:color="D9D9E3"/>
        </w:pBdr>
        <w:spacing w:before="300"/>
        <w:rPr>
          <w:rFonts w:ascii="Calibri" w:eastAsia="Calibri" w:hAnsi="Calibri" w:cs="Calibri"/>
          <w:color w:val="374151"/>
          <w:sz w:val="24"/>
          <w:szCs w:val="24"/>
        </w:rPr>
      </w:pPr>
      <w:r>
        <w:rPr>
          <w:rFonts w:ascii="Calibri" w:eastAsia="Calibri" w:hAnsi="Calibri" w:cs="Calibri"/>
          <w:color w:val="374151"/>
          <w:sz w:val="24"/>
          <w:szCs w:val="24"/>
        </w:rPr>
        <w:t>The above complaint escalation table and procedures are designed to ensure that concerns are addressed in a timely and transparent manner, promoting a positive and supportive school environment at Refresh Education</w:t>
      </w:r>
    </w:p>
    <w:p w14:paraId="42DF9928" w14:textId="77777777" w:rsidR="00D5550B" w:rsidRDefault="00D5550B">
      <w:pPr>
        <w:rPr>
          <w:rFonts w:ascii="Calibri" w:eastAsia="Calibri" w:hAnsi="Calibri" w:cs="Calibri"/>
          <w:color w:val="374151"/>
          <w:sz w:val="24"/>
          <w:szCs w:val="24"/>
        </w:rPr>
      </w:pPr>
    </w:p>
    <w:sectPr w:rsidR="00D5550B">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E0950" w14:textId="77777777" w:rsidR="003C02E6" w:rsidRDefault="003C02E6">
      <w:pPr>
        <w:spacing w:line="240" w:lineRule="auto"/>
      </w:pPr>
      <w:r>
        <w:separator/>
      </w:r>
    </w:p>
  </w:endnote>
  <w:endnote w:type="continuationSeparator" w:id="0">
    <w:p w14:paraId="75114D12" w14:textId="77777777" w:rsidR="003C02E6" w:rsidRDefault="003C02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86F8A" w14:textId="77777777" w:rsidR="003C02E6" w:rsidRDefault="003C02E6">
      <w:pPr>
        <w:spacing w:line="240" w:lineRule="auto"/>
      </w:pPr>
      <w:r>
        <w:separator/>
      </w:r>
    </w:p>
  </w:footnote>
  <w:footnote w:type="continuationSeparator" w:id="0">
    <w:p w14:paraId="05ABD3CD" w14:textId="77777777" w:rsidR="003C02E6" w:rsidRDefault="003C02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98B10" w14:textId="77777777" w:rsidR="00D5550B" w:rsidRDefault="00000000">
    <w:pPr>
      <w:jc w:val="center"/>
    </w:pPr>
    <w:r>
      <w:rPr>
        <w:noProof/>
      </w:rPr>
      <w:drawing>
        <wp:inline distT="114300" distB="114300" distL="114300" distR="114300" wp14:anchorId="655A8D91" wp14:editId="5DF5EE8F">
          <wp:extent cx="1528763" cy="98629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28763" cy="98629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50B"/>
    <w:rsid w:val="002132CF"/>
    <w:rsid w:val="003C02E6"/>
    <w:rsid w:val="00D55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D9382"/>
  <w15:docId w15:val="{D558D511-7A38-7441-9AB1-1014CBF1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615</Words>
  <Characters>3510</Characters>
  <Application>Microsoft Office Word</Application>
  <DocSecurity>0</DocSecurity>
  <Lines>29</Lines>
  <Paragraphs>8</Paragraphs>
  <ScaleCrop>false</ScaleCrop>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Benson, Eleanor (Postgraduate Student)</cp:lastModifiedBy>
  <cp:revision>2</cp:revision>
  <dcterms:created xsi:type="dcterms:W3CDTF">2024-02-26T13:01:00Z</dcterms:created>
  <dcterms:modified xsi:type="dcterms:W3CDTF">2024-02-26T13:10:00Z</dcterms:modified>
</cp:coreProperties>
</file>